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0E" w:rsidRDefault="00D2750E" w:rsidP="00D2750E">
      <w:pPr>
        <w:jc w:val="center"/>
        <w:rPr>
          <w:b/>
        </w:rPr>
      </w:pPr>
      <w:bookmarkStart w:id="0" w:name="_GoBack"/>
      <w:bookmarkEnd w:id="0"/>
      <w:r>
        <w:rPr>
          <w:b/>
        </w:rPr>
        <w:t>Starting Point Rubric for Oral</w:t>
      </w:r>
      <w:r w:rsidRPr="00B90031">
        <w:rPr>
          <w:b/>
        </w:rPr>
        <w:t xml:space="preserve"> Communication</w:t>
      </w:r>
      <w:r>
        <w:rPr>
          <w:rStyle w:val="FootnoteReference"/>
          <w:b/>
        </w:rPr>
        <w:footnoteReference w:id="1"/>
      </w:r>
    </w:p>
    <w:p w:rsidR="00D2750E" w:rsidRDefault="00D2750E" w:rsidP="00D2750E">
      <w:pPr>
        <w:jc w:val="center"/>
        <w:rPr>
          <w:b/>
        </w:rPr>
      </w:pPr>
    </w:p>
    <w:tbl>
      <w:tblPr>
        <w:tblStyle w:val="TableGrid"/>
        <w:tblW w:w="0" w:type="auto"/>
        <w:tblLook w:val="04A0" w:firstRow="1" w:lastRow="0" w:firstColumn="1" w:lastColumn="0" w:noHBand="0" w:noVBand="1"/>
      </w:tblPr>
      <w:tblGrid>
        <w:gridCol w:w="5646"/>
        <w:gridCol w:w="1882"/>
        <w:gridCol w:w="1882"/>
        <w:gridCol w:w="1883"/>
        <w:gridCol w:w="1883"/>
      </w:tblGrid>
      <w:tr w:rsidR="00D2750E" w:rsidTr="00947FDB">
        <w:tc>
          <w:tcPr>
            <w:tcW w:w="5646" w:type="dxa"/>
          </w:tcPr>
          <w:p w:rsidR="00D2750E" w:rsidRDefault="00D2750E" w:rsidP="00947FDB">
            <w:pPr>
              <w:rPr>
                <w:b/>
              </w:rPr>
            </w:pPr>
          </w:p>
        </w:tc>
        <w:tc>
          <w:tcPr>
            <w:tcW w:w="1882" w:type="dxa"/>
          </w:tcPr>
          <w:p w:rsidR="00D2750E" w:rsidRPr="00F5278B" w:rsidRDefault="00D2750E" w:rsidP="00947FDB">
            <w:pPr>
              <w:jc w:val="center"/>
              <w:rPr>
                <w:b/>
                <w:sz w:val="22"/>
              </w:rPr>
            </w:pPr>
            <w:r w:rsidRPr="00F5278B">
              <w:rPr>
                <w:b/>
                <w:sz w:val="22"/>
              </w:rPr>
              <w:t>Exceeds Expectations</w:t>
            </w:r>
          </w:p>
          <w:p w:rsidR="00D2750E" w:rsidRDefault="00D2750E" w:rsidP="00947FDB">
            <w:pPr>
              <w:jc w:val="center"/>
              <w:rPr>
                <w:b/>
              </w:rPr>
            </w:pPr>
            <w:r w:rsidRPr="00F5278B">
              <w:rPr>
                <w:b/>
                <w:sz w:val="22"/>
              </w:rPr>
              <w:t>4</w:t>
            </w:r>
          </w:p>
        </w:tc>
        <w:tc>
          <w:tcPr>
            <w:tcW w:w="1882" w:type="dxa"/>
          </w:tcPr>
          <w:p w:rsidR="00D2750E" w:rsidRPr="00F5278B" w:rsidRDefault="00D2750E" w:rsidP="00947FDB">
            <w:pPr>
              <w:jc w:val="center"/>
              <w:rPr>
                <w:b/>
                <w:sz w:val="22"/>
              </w:rPr>
            </w:pPr>
            <w:r w:rsidRPr="00F5278B">
              <w:rPr>
                <w:b/>
                <w:sz w:val="22"/>
              </w:rPr>
              <w:t>Meets Expectations</w:t>
            </w:r>
          </w:p>
          <w:p w:rsidR="00D2750E" w:rsidRDefault="00D2750E" w:rsidP="00947FDB">
            <w:pPr>
              <w:jc w:val="center"/>
              <w:rPr>
                <w:b/>
              </w:rPr>
            </w:pPr>
            <w:r w:rsidRPr="00F5278B">
              <w:rPr>
                <w:b/>
                <w:sz w:val="22"/>
              </w:rPr>
              <w:t>3</w:t>
            </w:r>
          </w:p>
        </w:tc>
        <w:tc>
          <w:tcPr>
            <w:tcW w:w="1883" w:type="dxa"/>
          </w:tcPr>
          <w:p w:rsidR="00D2750E" w:rsidRPr="00F5278B" w:rsidRDefault="00D2750E" w:rsidP="00947FDB">
            <w:pPr>
              <w:jc w:val="center"/>
              <w:rPr>
                <w:b/>
                <w:sz w:val="22"/>
              </w:rPr>
            </w:pPr>
            <w:r w:rsidRPr="00F5278B">
              <w:rPr>
                <w:b/>
                <w:sz w:val="22"/>
              </w:rPr>
              <w:t>Below Expectations</w:t>
            </w:r>
          </w:p>
          <w:p w:rsidR="00D2750E" w:rsidRDefault="00D2750E" w:rsidP="00947FDB">
            <w:pPr>
              <w:jc w:val="center"/>
              <w:rPr>
                <w:b/>
              </w:rPr>
            </w:pPr>
            <w:r w:rsidRPr="00F5278B">
              <w:rPr>
                <w:b/>
                <w:sz w:val="22"/>
              </w:rPr>
              <w:t>2</w:t>
            </w:r>
          </w:p>
        </w:tc>
        <w:tc>
          <w:tcPr>
            <w:tcW w:w="1883" w:type="dxa"/>
          </w:tcPr>
          <w:p w:rsidR="00D2750E" w:rsidRDefault="00D2750E" w:rsidP="00947FDB">
            <w:pPr>
              <w:jc w:val="center"/>
              <w:rPr>
                <w:b/>
                <w:sz w:val="22"/>
              </w:rPr>
            </w:pPr>
            <w:r w:rsidRPr="00F5278B">
              <w:rPr>
                <w:b/>
                <w:sz w:val="22"/>
              </w:rPr>
              <w:t xml:space="preserve">Well </w:t>
            </w:r>
            <w:r>
              <w:rPr>
                <w:b/>
                <w:sz w:val="22"/>
              </w:rPr>
              <w:t>Below Expectations</w:t>
            </w:r>
          </w:p>
          <w:p w:rsidR="00D2750E" w:rsidRDefault="00D2750E" w:rsidP="00947FDB">
            <w:pPr>
              <w:jc w:val="center"/>
              <w:rPr>
                <w:b/>
              </w:rPr>
            </w:pPr>
            <w:r w:rsidRPr="00F5278B">
              <w:rPr>
                <w:b/>
                <w:sz w:val="22"/>
              </w:rPr>
              <w:t>1</w:t>
            </w:r>
          </w:p>
        </w:tc>
      </w:tr>
      <w:tr w:rsidR="00D2750E" w:rsidTr="00947FDB">
        <w:tc>
          <w:tcPr>
            <w:tcW w:w="5646" w:type="dxa"/>
          </w:tcPr>
          <w:p w:rsidR="00D2750E" w:rsidRPr="00124861" w:rsidRDefault="00D2750E" w:rsidP="00947FDB">
            <w:pPr>
              <w:rPr>
                <w:b/>
                <w:i/>
                <w:sz w:val="20"/>
                <w:szCs w:val="20"/>
              </w:rPr>
            </w:pPr>
            <w:r w:rsidRPr="00124861">
              <w:rPr>
                <w:b/>
                <w:i/>
                <w:sz w:val="20"/>
                <w:szCs w:val="20"/>
              </w:rPr>
              <w:t>Organization</w:t>
            </w:r>
          </w:p>
          <w:p w:rsidR="00D2750E" w:rsidRPr="00124861" w:rsidRDefault="00D2750E" w:rsidP="00947FDB">
            <w:pPr>
              <w:rPr>
                <w:b/>
                <w:sz w:val="20"/>
                <w:szCs w:val="20"/>
              </w:rPr>
            </w:pPr>
            <w:r w:rsidRPr="00124861">
              <w:rPr>
                <w:i/>
                <w:sz w:val="20"/>
                <w:szCs w:val="20"/>
              </w:rPr>
              <w:t>Organizational pattern (specific introduction and conclusion, sequenced material within the body, and transitions) is clearly and consistently observable.</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Language</w:t>
            </w:r>
          </w:p>
          <w:p w:rsidR="00D2750E" w:rsidRPr="00124861" w:rsidRDefault="00D2750E" w:rsidP="00947FDB">
            <w:pPr>
              <w:rPr>
                <w:b/>
                <w:i/>
                <w:sz w:val="20"/>
                <w:szCs w:val="20"/>
              </w:rPr>
            </w:pPr>
            <w:r w:rsidRPr="00124861">
              <w:rPr>
                <w:i/>
                <w:sz w:val="20"/>
                <w:szCs w:val="20"/>
              </w:rPr>
              <w:t>Language choices enhance the effectiveness of the presentation.</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i/>
                <w:sz w:val="20"/>
                <w:szCs w:val="20"/>
              </w:rPr>
            </w:pPr>
            <w:r w:rsidRPr="00124861">
              <w:rPr>
                <w:b/>
                <w:i/>
                <w:sz w:val="20"/>
                <w:szCs w:val="20"/>
              </w:rPr>
              <w:t>Delivery</w:t>
            </w:r>
          </w:p>
          <w:p w:rsidR="00D2750E" w:rsidRPr="00124861" w:rsidRDefault="00D2750E" w:rsidP="00947FDB">
            <w:pPr>
              <w:rPr>
                <w:b/>
                <w:i/>
                <w:sz w:val="20"/>
                <w:szCs w:val="20"/>
              </w:rPr>
            </w:pPr>
            <w:r w:rsidRPr="00124861">
              <w:rPr>
                <w:i/>
                <w:sz w:val="20"/>
                <w:szCs w:val="20"/>
              </w:rPr>
              <w:t>Delivery techniques (posture, gesture, eye contact, and vocal expressiveness) make the presentation compelling.</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Supporting Material</w:t>
            </w:r>
          </w:p>
          <w:p w:rsidR="00D2750E" w:rsidRPr="00124861" w:rsidRDefault="00D2750E" w:rsidP="00947FDB">
            <w:pPr>
              <w:rPr>
                <w:b/>
                <w:i/>
                <w:sz w:val="20"/>
                <w:szCs w:val="20"/>
              </w:rPr>
            </w:pPr>
            <w:r w:rsidRPr="00124861">
              <w:rPr>
                <w:i/>
                <w:sz w:val="20"/>
                <w:szCs w:val="20"/>
              </w:rPr>
              <w:t>A variety of types of supporting materials (explanations, examples, illustrations, statistics, analogies, quotations from relevant authorities) make appropriate reference to information or analysis that significantly supports the presentation.</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Central Message</w:t>
            </w:r>
          </w:p>
          <w:p w:rsidR="00D2750E" w:rsidRPr="00124861" w:rsidRDefault="00D2750E" w:rsidP="00947FDB">
            <w:pPr>
              <w:rPr>
                <w:i/>
                <w:sz w:val="20"/>
                <w:szCs w:val="20"/>
              </w:rPr>
            </w:pPr>
            <w:r w:rsidRPr="00124861">
              <w:rPr>
                <w:i/>
                <w:sz w:val="20"/>
                <w:szCs w:val="20"/>
              </w:rPr>
              <w:t>Central message is compelling (precisely stated, appropriately repeated, memorable, and strongly supported.) </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Analysis</w:t>
            </w:r>
          </w:p>
          <w:p w:rsidR="00D2750E" w:rsidRPr="00124861" w:rsidRDefault="00D2750E" w:rsidP="00947FDB">
            <w:pPr>
              <w:rPr>
                <w:b/>
                <w:i/>
                <w:sz w:val="20"/>
                <w:szCs w:val="20"/>
              </w:rPr>
            </w:pPr>
            <w:r w:rsidRPr="00124861">
              <w:rPr>
                <w:i/>
                <w:sz w:val="20"/>
                <w:szCs w:val="20"/>
              </w:rPr>
              <w:t>Organizes and synthesizes evidence to reveal insightful patterns, differences, or similarities related to focus.</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Overall Impact</w:t>
            </w:r>
          </w:p>
          <w:p w:rsidR="00D2750E" w:rsidRPr="00124861" w:rsidRDefault="00D2750E" w:rsidP="00947FDB">
            <w:pPr>
              <w:rPr>
                <w:b/>
                <w:i/>
                <w:sz w:val="20"/>
                <w:szCs w:val="20"/>
              </w:rPr>
            </w:pPr>
            <w:r w:rsidRPr="00124861">
              <w:rPr>
                <w:i/>
                <w:sz w:val="20"/>
                <w:szCs w:val="20"/>
              </w:rPr>
              <w:t>A holistic judgment of the presentation’s impact or quality.</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r w:rsidR="00D2750E" w:rsidTr="00947FDB">
        <w:tc>
          <w:tcPr>
            <w:tcW w:w="5646" w:type="dxa"/>
          </w:tcPr>
          <w:p w:rsidR="00D2750E" w:rsidRPr="00124861" w:rsidRDefault="00D2750E" w:rsidP="00947FDB">
            <w:pPr>
              <w:rPr>
                <w:b/>
                <w:i/>
                <w:sz w:val="20"/>
                <w:szCs w:val="20"/>
              </w:rPr>
            </w:pPr>
            <w:r w:rsidRPr="00124861">
              <w:rPr>
                <w:b/>
                <w:i/>
                <w:sz w:val="20"/>
                <w:szCs w:val="20"/>
              </w:rPr>
              <w:t>Other Criterion added by Department</w:t>
            </w:r>
          </w:p>
        </w:tc>
        <w:tc>
          <w:tcPr>
            <w:tcW w:w="1882" w:type="dxa"/>
          </w:tcPr>
          <w:p w:rsidR="00D2750E" w:rsidRPr="00F5278B" w:rsidRDefault="00D2750E" w:rsidP="00947FDB">
            <w:pPr>
              <w:jc w:val="center"/>
              <w:rPr>
                <w:b/>
                <w:sz w:val="22"/>
              </w:rPr>
            </w:pPr>
          </w:p>
        </w:tc>
        <w:tc>
          <w:tcPr>
            <w:tcW w:w="1882"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c>
          <w:tcPr>
            <w:tcW w:w="1883" w:type="dxa"/>
          </w:tcPr>
          <w:p w:rsidR="00D2750E" w:rsidRPr="00F5278B" w:rsidRDefault="00D2750E" w:rsidP="00947FDB">
            <w:pPr>
              <w:jc w:val="center"/>
              <w:rPr>
                <w:b/>
                <w:sz w:val="22"/>
              </w:rPr>
            </w:pPr>
          </w:p>
        </w:tc>
      </w:tr>
    </w:tbl>
    <w:p w:rsidR="00D2750E" w:rsidRDefault="00D2750E" w:rsidP="00D2750E">
      <w:pPr>
        <w:rPr>
          <w:b/>
        </w:rPr>
      </w:pPr>
    </w:p>
    <w:p w:rsidR="00D2750E" w:rsidRPr="00124861" w:rsidRDefault="00D2750E" w:rsidP="00D2750E">
      <w:pPr>
        <w:rPr>
          <w:sz w:val="22"/>
          <w:szCs w:val="22"/>
        </w:rPr>
      </w:pPr>
      <w:r w:rsidRPr="00F25EAB">
        <w:rPr>
          <w:b/>
          <w:sz w:val="22"/>
          <w:szCs w:val="22"/>
        </w:rPr>
        <w:t>Instructions</w:t>
      </w:r>
      <w:r w:rsidRPr="00F25EAB">
        <w:rPr>
          <w:sz w:val="22"/>
          <w:szCs w:val="22"/>
        </w:rPr>
        <w:t>—(1)</w:t>
      </w:r>
      <w:r>
        <w:rPr>
          <w:b/>
          <w:sz w:val="22"/>
          <w:szCs w:val="22"/>
        </w:rPr>
        <w:t xml:space="preserve"> </w:t>
      </w:r>
      <w:r w:rsidRPr="00F25EAB">
        <w:rPr>
          <w:sz w:val="22"/>
          <w:szCs w:val="22"/>
        </w:rPr>
        <w:t>Departments try to use as many of the established criteria as are relevant to the studen</w:t>
      </w:r>
      <w:r>
        <w:rPr>
          <w:sz w:val="22"/>
          <w:szCs w:val="22"/>
        </w:rPr>
        <w:t>t artifact they are assessing, subtract the rest, and add criteria as needed. (2) Departments work with Tom Zane to write levels-of-performance descriptors for each row of the rubric. (3) All departments agree that “expectations” refers to faculty expectations pertaining to the assignment to which students are responding, regardless of each student’s credit standing, and not expectations of a hypothetical graduating student on that assignment.</w:t>
      </w:r>
    </w:p>
    <w:p w:rsidR="00204CD8" w:rsidRDefault="00204CD8"/>
    <w:sectPr w:rsidR="00204CD8" w:rsidSect="001A31D8">
      <w:pgSz w:w="15840" w:h="12240" w:orient="landscape"/>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E" w:rsidRDefault="00D2750E" w:rsidP="00D2750E">
      <w:r>
        <w:separator/>
      </w:r>
    </w:p>
  </w:endnote>
  <w:endnote w:type="continuationSeparator" w:id="0">
    <w:p w:rsidR="00D2750E" w:rsidRDefault="00D2750E" w:rsidP="00D2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E" w:rsidRDefault="00D2750E" w:rsidP="00D2750E">
      <w:r>
        <w:separator/>
      </w:r>
    </w:p>
  </w:footnote>
  <w:footnote w:type="continuationSeparator" w:id="0">
    <w:p w:rsidR="00D2750E" w:rsidRDefault="00D2750E" w:rsidP="00D2750E">
      <w:r>
        <w:continuationSeparator/>
      </w:r>
    </w:p>
  </w:footnote>
  <w:footnote w:id="1">
    <w:p w:rsidR="00D2750E" w:rsidRDefault="00D2750E" w:rsidP="00D2750E">
      <w:pPr>
        <w:pStyle w:val="FootnoteText"/>
      </w:pPr>
      <w:r>
        <w:rPr>
          <w:rStyle w:val="FootnoteReference"/>
        </w:rPr>
        <w:footnoteRef/>
      </w:r>
      <w:r>
        <w:t xml:space="preserve"> </w:t>
      </w:r>
      <w:r w:rsidRPr="00820684">
        <w:rPr>
          <w:sz w:val="20"/>
        </w:rPr>
        <w:t xml:space="preserve">This is a modified </w:t>
      </w:r>
      <w:r>
        <w:rPr>
          <w:sz w:val="20"/>
        </w:rPr>
        <w:t>outline</w:t>
      </w:r>
      <w:r w:rsidRPr="00820684">
        <w:rPr>
          <w:sz w:val="20"/>
        </w:rPr>
        <w:t xml:space="preserve"> of the VALUE Rubric for </w:t>
      </w:r>
      <w:r>
        <w:rPr>
          <w:sz w:val="20"/>
        </w:rPr>
        <w:t>Oral</w:t>
      </w:r>
      <w:r w:rsidRPr="00820684">
        <w:rPr>
          <w:sz w:val="20"/>
        </w:rPr>
        <w:t xml:space="preserve"> Communication, published by the Association of American Colleges and Universities.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0E"/>
    <w:rsid w:val="00204CD8"/>
    <w:rsid w:val="0044244E"/>
    <w:rsid w:val="00D275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750E"/>
  </w:style>
  <w:style w:type="character" w:customStyle="1" w:styleId="FootnoteTextChar">
    <w:name w:val="Footnote Text Char"/>
    <w:basedOn w:val="DefaultParagraphFont"/>
    <w:link w:val="FootnoteText"/>
    <w:uiPriority w:val="99"/>
    <w:rsid w:val="00D2750E"/>
    <w:rPr>
      <w:rFonts w:eastAsiaTheme="minorHAnsi"/>
    </w:rPr>
  </w:style>
  <w:style w:type="character" w:styleId="FootnoteReference">
    <w:name w:val="footnote reference"/>
    <w:basedOn w:val="DefaultParagraphFont"/>
    <w:uiPriority w:val="99"/>
    <w:unhideWhenUsed/>
    <w:rsid w:val="00D2750E"/>
    <w:rPr>
      <w:vertAlign w:val="superscript"/>
    </w:rPr>
  </w:style>
  <w:style w:type="table" w:styleId="TableGrid">
    <w:name w:val="Table Grid"/>
    <w:basedOn w:val="TableNormal"/>
    <w:uiPriority w:val="59"/>
    <w:rsid w:val="00D2750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750E"/>
  </w:style>
  <w:style w:type="character" w:customStyle="1" w:styleId="FootnoteTextChar">
    <w:name w:val="Footnote Text Char"/>
    <w:basedOn w:val="DefaultParagraphFont"/>
    <w:link w:val="FootnoteText"/>
    <w:uiPriority w:val="99"/>
    <w:rsid w:val="00D2750E"/>
    <w:rPr>
      <w:rFonts w:eastAsiaTheme="minorHAnsi"/>
    </w:rPr>
  </w:style>
  <w:style w:type="character" w:styleId="FootnoteReference">
    <w:name w:val="footnote reference"/>
    <w:basedOn w:val="DefaultParagraphFont"/>
    <w:uiPriority w:val="99"/>
    <w:unhideWhenUsed/>
    <w:rsid w:val="00D2750E"/>
    <w:rPr>
      <w:vertAlign w:val="superscript"/>
    </w:rPr>
  </w:style>
  <w:style w:type="table" w:styleId="TableGrid">
    <w:name w:val="Table Grid"/>
    <w:basedOn w:val="TableNormal"/>
    <w:uiPriority w:val="59"/>
    <w:rsid w:val="00D2750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1465</Characters>
  <Application>Microsoft Macintosh Word</Application>
  <DocSecurity>0</DocSecurity>
  <Lines>12</Lines>
  <Paragraphs>3</Paragraphs>
  <ScaleCrop>false</ScaleCrop>
  <Company>SLCC</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Hubert</dc:creator>
  <cp:keywords/>
  <dc:description/>
  <cp:lastModifiedBy>David Hubert</cp:lastModifiedBy>
  <cp:revision>1</cp:revision>
  <dcterms:created xsi:type="dcterms:W3CDTF">2011-04-04T14:22:00Z</dcterms:created>
  <dcterms:modified xsi:type="dcterms:W3CDTF">2011-04-04T14:24:00Z</dcterms:modified>
</cp:coreProperties>
</file>